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3A19" w:rsidRDefault="006D0273">
      <w:pPr>
        <w:jc w:val="center"/>
      </w:pPr>
      <w:bookmarkStart w:id="0" w:name="_GoBack"/>
      <w:bookmarkEnd w:id="0"/>
      <w:r>
        <w:rPr>
          <w:b/>
        </w:rPr>
        <w:t xml:space="preserve">AVALIAÇÃO DE RISCOS DE FRAUDE </w:t>
      </w:r>
    </w:p>
    <w:p w:rsidR="00EA3A19" w:rsidRDefault="00EA3A19">
      <w:pPr>
        <w:widowControl w:val="0"/>
        <w:spacing w:before="58" w:line="240" w:lineRule="auto"/>
        <w:rPr>
          <w:b/>
          <w:sz w:val="20"/>
          <w:szCs w:val="20"/>
        </w:rPr>
      </w:pPr>
    </w:p>
    <w:tbl>
      <w:tblPr>
        <w:tblStyle w:val="aa"/>
        <w:tblW w:w="90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0"/>
        <w:gridCol w:w="6660"/>
      </w:tblGrid>
      <w:tr w:rsidR="00EA3A19">
        <w:tc>
          <w:tcPr>
            <w:tcW w:w="2370" w:type="dxa"/>
            <w:shd w:val="clear" w:color="auto" w:fill="CCCCCC"/>
          </w:tcPr>
          <w:p w:rsidR="00EA3A19" w:rsidRDefault="006D0273">
            <w:pPr>
              <w:widowControl w:val="0"/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6660" w:type="dxa"/>
            <w:shd w:val="clear" w:color="auto" w:fill="auto"/>
          </w:tcPr>
          <w:p w:rsidR="00EA3A19" w:rsidRDefault="00EA3A19">
            <w:pPr>
              <w:widowControl w:val="0"/>
              <w:spacing w:before="58"/>
              <w:rPr>
                <w:b/>
                <w:sz w:val="20"/>
                <w:szCs w:val="20"/>
              </w:rPr>
            </w:pPr>
          </w:p>
        </w:tc>
      </w:tr>
      <w:tr w:rsidR="00EA3A19">
        <w:tc>
          <w:tcPr>
            <w:tcW w:w="2370" w:type="dxa"/>
            <w:shd w:val="clear" w:color="auto" w:fill="CCCCCC"/>
          </w:tcPr>
          <w:p w:rsidR="00EA3A19" w:rsidRDefault="006D0273">
            <w:pPr>
              <w:widowControl w:val="0"/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6660" w:type="dxa"/>
            <w:shd w:val="clear" w:color="auto" w:fill="auto"/>
          </w:tcPr>
          <w:p w:rsidR="00EA3A19" w:rsidRDefault="00EA3A19">
            <w:pPr>
              <w:widowControl w:val="0"/>
              <w:spacing w:before="58"/>
              <w:rPr>
                <w:b/>
                <w:sz w:val="20"/>
                <w:szCs w:val="20"/>
              </w:rPr>
            </w:pPr>
          </w:p>
        </w:tc>
      </w:tr>
    </w:tbl>
    <w:p w:rsidR="00EA3A19" w:rsidRDefault="00EA3A19">
      <w:pPr>
        <w:rPr>
          <w:sz w:val="20"/>
          <w:szCs w:val="20"/>
        </w:rPr>
      </w:pPr>
    </w:p>
    <w:p w:rsidR="00EA3A19" w:rsidRDefault="006D0273">
      <w:pPr>
        <w:jc w:val="both"/>
        <w:rPr>
          <w:color w:val="FF0000"/>
          <w:sz w:val="20"/>
          <w:szCs w:val="20"/>
        </w:rPr>
      </w:pPr>
      <w:bookmarkStart w:id="1" w:name="_heading=h.gjdgxs" w:colFirst="0" w:colLast="0"/>
      <w:bookmarkEnd w:id="1"/>
      <w:r>
        <w:rPr>
          <w:color w:val="FF0000"/>
          <w:sz w:val="20"/>
          <w:szCs w:val="20"/>
        </w:rPr>
        <w:t>(O checklist abaixo não inclui todas as perguntas necessárias para avaliar os riscos de fraude em uma organização. Isso pode exigir perguntas complementares que dependem de respostas a perguntas anteriores. Portanto, os auditores devem usar isso como um po</w:t>
      </w:r>
      <w:r>
        <w:rPr>
          <w:color w:val="FF0000"/>
          <w:sz w:val="20"/>
          <w:szCs w:val="20"/>
        </w:rPr>
        <w:t xml:space="preserve">nto de partida para criar as ferramentas deles e como um </w:t>
      </w:r>
      <w:r>
        <w:rPr>
          <w:i/>
          <w:color w:val="FF0000"/>
          <w:sz w:val="20"/>
          <w:szCs w:val="20"/>
        </w:rPr>
        <w:t>brainstorm</w:t>
      </w:r>
      <w:r>
        <w:rPr>
          <w:color w:val="FF0000"/>
          <w:sz w:val="20"/>
          <w:szCs w:val="20"/>
        </w:rPr>
        <w:t xml:space="preserve"> para identificar os riscos de fraude que podem se aplicar ao jurisdicionado ou ao objeto da auditoria.)</w:t>
      </w:r>
    </w:p>
    <w:p w:rsidR="00EA3A19" w:rsidRDefault="00EA3A19">
      <w:pPr>
        <w:widowControl w:val="0"/>
        <w:spacing w:line="240" w:lineRule="auto"/>
        <w:rPr>
          <w:b/>
          <w:sz w:val="20"/>
          <w:szCs w:val="20"/>
        </w:rPr>
      </w:pPr>
    </w:p>
    <w:tbl>
      <w:tblPr>
        <w:tblStyle w:val="ab"/>
        <w:tblW w:w="9057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30"/>
        <w:gridCol w:w="4527"/>
      </w:tblGrid>
      <w:tr w:rsidR="00EA3A19">
        <w:trPr>
          <w:tblHeader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A19" w:rsidRDefault="006D0273">
            <w:pPr>
              <w:widowControl w:val="0"/>
              <w:jc w:val="center"/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 xml:space="preserve">Questões 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A19" w:rsidRDefault="006D0273">
            <w:pPr>
              <w:widowControl w:val="0"/>
              <w:jc w:val="center"/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>Descrição</w:t>
            </w:r>
          </w:p>
        </w:tc>
      </w:tr>
      <w:tr w:rsidR="00EA3A19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A19" w:rsidRDefault="006D02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 A entidade tem uma política contra fraude estabelecida?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A19" w:rsidRDefault="00EA3A19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A3A19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A19" w:rsidRDefault="006D0273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 A entidade tem um canal de denúncias contra fraude?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A19" w:rsidRDefault="00EA3A19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A3A19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A19" w:rsidRDefault="006D0273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 A gestão da entidade promove ações de conscientização e treinamento contra fraude dentro da organização?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A19" w:rsidRDefault="00EA3A19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A3A19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A19" w:rsidRDefault="006D0273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 Quais processos foram estabelecidos para identificar e responder aos riscos de fraude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na entidade?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A19" w:rsidRDefault="00EA3A19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A3A19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A19" w:rsidRDefault="006D0273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5. A gestão da entidade incorporou controles apropriados para prevenir, detectar e investigar as fraudes?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A19" w:rsidRDefault="00EA3A19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EA3A19" w:rsidRDefault="00EA3A19">
      <w:pPr>
        <w:widowControl w:val="0"/>
        <w:spacing w:line="240" w:lineRule="auto"/>
        <w:rPr>
          <w:b/>
          <w:sz w:val="20"/>
          <w:szCs w:val="20"/>
        </w:rPr>
      </w:pPr>
    </w:p>
    <w:p w:rsidR="00EA3A19" w:rsidRDefault="00EA3A19">
      <w:pPr>
        <w:rPr>
          <w:sz w:val="20"/>
          <w:szCs w:val="20"/>
        </w:rPr>
      </w:pPr>
    </w:p>
    <w:tbl>
      <w:tblPr>
        <w:tblStyle w:val="ac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7065"/>
      </w:tblGrid>
      <w:tr w:rsidR="00EA3A19">
        <w:tc>
          <w:tcPr>
            <w:tcW w:w="1995" w:type="dxa"/>
            <w:shd w:val="clear" w:color="auto" w:fill="CCCCCC"/>
          </w:tcPr>
          <w:p w:rsidR="00EA3A19" w:rsidRDefault="006D0273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7065" w:type="dxa"/>
            <w:shd w:val="clear" w:color="auto" w:fill="auto"/>
          </w:tcPr>
          <w:p w:rsidR="00EA3A19" w:rsidRDefault="00EA3A19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A3A19">
        <w:tc>
          <w:tcPr>
            <w:tcW w:w="9060" w:type="dxa"/>
            <w:gridSpan w:val="2"/>
            <w:shd w:val="clear" w:color="auto" w:fill="auto"/>
          </w:tcPr>
          <w:p w:rsidR="00EA3A19" w:rsidRDefault="006D0273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EA3A19" w:rsidRDefault="006D0273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EA3A19" w:rsidRDefault="006D0273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EA3A19" w:rsidRDefault="006D0273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EA3A19" w:rsidRDefault="006D0273">
      <w:pPr>
        <w:widowControl w:val="0"/>
        <w:spacing w:before="57" w:after="57" w:line="240" w:lineRule="auto"/>
        <w:jc w:val="both"/>
        <w:rPr>
          <w:sz w:val="20"/>
          <w:szCs w:val="20"/>
        </w:rPr>
      </w:pPr>
      <w:r>
        <w:br w:type="page"/>
      </w:r>
    </w:p>
    <w:p w:rsidR="00EA3A19" w:rsidRDefault="006D0273">
      <w:pPr>
        <w:rPr>
          <w:b/>
          <w:color w:val="1C4587"/>
          <w:sz w:val="20"/>
          <w:szCs w:val="20"/>
        </w:rPr>
      </w:pPr>
      <w:r>
        <w:rPr>
          <w:b/>
          <w:color w:val="1C4587"/>
          <w:sz w:val="20"/>
          <w:szCs w:val="20"/>
        </w:rPr>
        <w:lastRenderedPageBreak/>
        <w:t>Orientações para preenchimento da matriz de avaliação de riscos de fraude na fase de planejamento da auditoria</w:t>
      </w:r>
      <w:r>
        <w:rPr>
          <w:color w:val="1C4587"/>
          <w:sz w:val="20"/>
          <w:szCs w:val="20"/>
        </w:rPr>
        <w:t xml:space="preserve"> </w:t>
      </w:r>
    </w:p>
    <w:tbl>
      <w:tblPr>
        <w:tblStyle w:val="ad"/>
        <w:tblW w:w="918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7200"/>
      </w:tblGrid>
      <w:tr w:rsidR="00EA3A19">
        <w:trPr>
          <w:trHeight w:val="545"/>
        </w:trPr>
        <w:tc>
          <w:tcPr>
            <w:tcW w:w="1984" w:type="dxa"/>
            <w:tcBorders>
              <w:top w:val="single" w:sz="12" w:space="0" w:color="6D9EEB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3A19" w:rsidRDefault="006D0273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Objetivo do modelo do papel de trabalho</w:t>
            </w:r>
          </w:p>
        </w:tc>
        <w:tc>
          <w:tcPr>
            <w:tcW w:w="7200" w:type="dxa"/>
            <w:tcBorders>
              <w:top w:val="single" w:sz="12" w:space="0" w:color="6D9EEB"/>
              <w:left w:val="single" w:sz="8" w:space="0" w:color="93C47D"/>
              <w:bottom w:val="single" w:sz="8" w:space="0" w:color="93C47D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3A19" w:rsidRDefault="006D0273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objetivo dessa matriz é obter informações relativas aos riscos de fraude como parte de um entendimento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geral do jurisdicionado e seu ambiente de controle.</w:t>
            </w:r>
          </w:p>
          <w:p w:rsidR="00EA3A19" w:rsidRDefault="00EA3A19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20"/>
                <w:szCs w:val="20"/>
              </w:rPr>
            </w:pPr>
          </w:p>
          <w:p w:rsidR="00EA3A19" w:rsidRDefault="00EA3A19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A3A19">
        <w:trPr>
          <w:trHeight w:val="362"/>
        </w:trPr>
        <w:tc>
          <w:tcPr>
            <w:tcW w:w="1984" w:type="dxa"/>
            <w:tcBorders>
              <w:top w:val="single" w:sz="8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3A19" w:rsidRDefault="006D0273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Requisito NBASP</w:t>
            </w:r>
          </w:p>
        </w:tc>
        <w:tc>
          <w:tcPr>
            <w:tcW w:w="7200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3A19" w:rsidRDefault="006D0273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NBASP 3000/73</w:t>
            </w:r>
          </w:p>
        </w:tc>
      </w:tr>
      <w:tr w:rsidR="00EA3A19">
        <w:tc>
          <w:tcPr>
            <w:tcW w:w="1984" w:type="dxa"/>
            <w:tcBorders>
              <w:top w:val="single" w:sz="8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3A19" w:rsidRDefault="006D0273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Guia</w:t>
            </w:r>
          </w:p>
        </w:tc>
        <w:tc>
          <w:tcPr>
            <w:tcW w:w="7200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3A19" w:rsidRDefault="006D0273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 equipe de auditoria identifica esquemas potencialmente fraudulentos usando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brainstorming</w:t>
            </w:r>
            <w:r>
              <w:rPr>
                <w:rFonts w:ascii="Arial" w:eastAsia="Arial" w:hAnsi="Arial" w:cs="Arial"/>
                <w:sz w:val="20"/>
                <w:szCs w:val="20"/>
              </w:rPr>
              <w:t>, entrevistas, procedimentos analíticos e revisão de fraudes anteriores. Durante esse processo, a equipe revisa as atividades da organização e esquemas relevantes à indústria, geografia e programas, sempre considerando as características essenciais da frau</w:t>
            </w:r>
            <w:r>
              <w:rPr>
                <w:rFonts w:ascii="Arial" w:eastAsia="Arial" w:hAnsi="Arial" w:cs="Arial"/>
                <w:sz w:val="20"/>
                <w:szCs w:val="20"/>
              </w:rPr>
              <w:t>de (pressão, oportunidade e racionalização), fazendo as seguintes perguntas:</w:t>
            </w:r>
          </w:p>
          <w:p w:rsidR="00EA3A19" w:rsidRDefault="006D0273">
            <w:pPr>
              <w:widowControl w:val="0"/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Onde estão as oportunidades para fraude?</w:t>
            </w:r>
          </w:p>
          <w:p w:rsidR="00EA3A19" w:rsidRDefault="006D0273">
            <w:pPr>
              <w:widowControl w:val="0"/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Qual é o nível de pressão sofrido pela gestão que a levaria a se sobrepor aos controles internos?</w:t>
            </w:r>
          </w:p>
          <w:p w:rsidR="00EA3A19" w:rsidRDefault="006D0273">
            <w:pPr>
              <w:widowControl w:val="0"/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Há alguma consequência se a gestão falhar em alcançar seus objetivos?</w:t>
            </w:r>
          </w:p>
          <w:p w:rsidR="00EA3A19" w:rsidRDefault="00EA3A19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EA3A19" w:rsidRDefault="006D0273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Áreas de fraude específicas devem ser identificadas independentemente da existência ou eficácia dos controles internos. A avaliação considera se as fraudes poderiam ser cometidas por um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único indivíduo ou exige o conluio entre servidores/empregados ou pessoas externas.</w:t>
            </w:r>
          </w:p>
          <w:p w:rsidR="00EA3A19" w:rsidRDefault="00EA3A19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EA3A19" w:rsidRDefault="006D0273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auditor deve considerar os seguintes fatores ao priorizar os riscos de fraude:</w:t>
            </w:r>
          </w:p>
          <w:p w:rsidR="00EA3A19" w:rsidRDefault="006D0273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Impacto financeiro</w:t>
            </w:r>
          </w:p>
          <w:p w:rsidR="00EA3A19" w:rsidRDefault="006D0273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Impacto na reputação da organização</w:t>
            </w:r>
          </w:p>
          <w:p w:rsidR="00EA3A19" w:rsidRDefault="006D0273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Potenciais ações civis ou criminais</w:t>
            </w:r>
          </w:p>
          <w:p w:rsidR="00EA3A19" w:rsidRDefault="006D0273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Desconformidades regulatórias</w:t>
            </w:r>
          </w:p>
          <w:p w:rsidR="00EA3A19" w:rsidRDefault="006D0273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Integridade e segurança sobre dados</w:t>
            </w:r>
          </w:p>
          <w:p w:rsidR="00EA3A19" w:rsidRDefault="006D0273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Perda de ativos</w:t>
            </w:r>
          </w:p>
          <w:p w:rsidR="00EA3A19" w:rsidRDefault="006D0273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Localização e tamanho das operações e unidades</w:t>
            </w:r>
          </w:p>
          <w:p w:rsidR="00EA3A19" w:rsidRDefault="006D0273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Cultura do jurisdicionado</w:t>
            </w:r>
          </w:p>
          <w:p w:rsidR="00EA3A19" w:rsidRDefault="006D0273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Rotatividade da gestão e servidores/empregados</w:t>
            </w:r>
          </w:p>
          <w:p w:rsidR="00EA3A19" w:rsidRDefault="006D0273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Liquidez dos ativo</w:t>
            </w:r>
            <w:r>
              <w:rPr>
                <w:rFonts w:ascii="Arial" w:eastAsia="Arial" w:hAnsi="Arial" w:cs="Arial"/>
                <w:sz w:val="20"/>
                <w:szCs w:val="20"/>
              </w:rPr>
              <w:t>s do jurisdicionado</w:t>
            </w:r>
          </w:p>
          <w:p w:rsidR="00EA3A19" w:rsidRDefault="006D0273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Volume e tamanho das transações</w:t>
            </w:r>
          </w:p>
          <w:p w:rsidR="00EA3A19" w:rsidRDefault="006D0273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Terceirização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</w:r>
          </w:p>
          <w:p w:rsidR="00EA3A19" w:rsidRDefault="00EA3A19">
            <w:pPr>
              <w:widowControl w:val="0"/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A3A19">
        <w:trPr>
          <w:trHeight w:val="693"/>
        </w:trPr>
        <w:tc>
          <w:tcPr>
            <w:tcW w:w="1984" w:type="dxa"/>
            <w:tcBorders>
              <w:top w:val="single" w:sz="8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3A19" w:rsidRDefault="006D0273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Conclusão</w:t>
            </w:r>
          </w:p>
        </w:tc>
        <w:tc>
          <w:tcPr>
            <w:tcW w:w="7200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3A19" w:rsidRDefault="006D0273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equipe de auditoria conclui sobre os potenciais riscos de fraude a serem documentados no registro de riscos.</w:t>
            </w:r>
          </w:p>
        </w:tc>
      </w:tr>
      <w:tr w:rsidR="00EA3A19">
        <w:trPr>
          <w:trHeight w:val="567"/>
        </w:trPr>
        <w:tc>
          <w:tcPr>
            <w:tcW w:w="1984" w:type="dxa"/>
            <w:tcBorders>
              <w:top w:val="single" w:sz="8" w:space="0" w:color="93C47D"/>
              <w:left w:val="single" w:sz="12" w:space="0" w:color="6D9EEB"/>
              <w:bottom w:val="single" w:sz="12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3A19" w:rsidRDefault="006D0273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Evidências de preparação e revisão </w:t>
            </w:r>
          </w:p>
        </w:tc>
        <w:tc>
          <w:tcPr>
            <w:tcW w:w="7200" w:type="dxa"/>
            <w:tcBorders>
              <w:top w:val="single" w:sz="8" w:space="0" w:color="93C47D"/>
              <w:left w:val="single" w:sz="8" w:space="0" w:color="93C47D"/>
              <w:bottom w:val="single" w:sz="12" w:space="0" w:color="6D9EEB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3A19" w:rsidRDefault="006D0273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equipe e o revisor, geralmente o coordenador da equipe, assinam este documento para assegurar que o trabalho feito pela equipe foi revisado e documentado.</w:t>
            </w:r>
          </w:p>
          <w:p w:rsidR="00EA3A19" w:rsidRDefault="00EA3A19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EA3A19" w:rsidRDefault="00EA3A19"/>
    <w:sectPr w:rsidR="00EA3A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701" w:right="1134" w:bottom="113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6D0273">
      <w:pPr>
        <w:spacing w:line="240" w:lineRule="auto"/>
      </w:pPr>
      <w:r>
        <w:separator/>
      </w:r>
    </w:p>
  </w:endnote>
  <w:endnote w:type="continuationSeparator" w:id="0">
    <w:p w:rsidR="00000000" w:rsidRDefault="006D02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3A19" w:rsidRDefault="00EA3A1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3A19" w:rsidRDefault="006D027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EA3A19" w:rsidRDefault="00EA3A1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3A19" w:rsidRDefault="00EA3A1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6D0273">
      <w:pPr>
        <w:spacing w:line="240" w:lineRule="auto"/>
      </w:pPr>
      <w:r>
        <w:separator/>
      </w:r>
    </w:p>
  </w:footnote>
  <w:footnote w:type="continuationSeparator" w:id="0">
    <w:p w:rsidR="00000000" w:rsidRDefault="006D027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3A19" w:rsidRDefault="00EA3A1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3A19" w:rsidRDefault="00EA3A19">
    <w:pPr>
      <w:tabs>
        <w:tab w:val="center" w:pos="4252"/>
        <w:tab w:val="right" w:pos="8504"/>
      </w:tabs>
      <w:spacing w:line="240" w:lineRule="auto"/>
    </w:pPr>
  </w:p>
  <w:tbl>
    <w:tblPr>
      <w:tblStyle w:val="ae"/>
      <w:tblW w:w="1020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7780"/>
    </w:tblGrid>
    <w:tr w:rsidR="00EA3A19">
      <w:trPr>
        <w:trHeight w:val="1418"/>
        <w:jc w:val="center"/>
      </w:trPr>
      <w:tc>
        <w:tcPr>
          <w:tcW w:w="2420" w:type="dxa"/>
          <w:vAlign w:val="center"/>
        </w:tcPr>
        <w:p w:rsidR="00EA3A19" w:rsidRDefault="006D0273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r>
            <w:rPr>
              <w:noProof/>
            </w:rPr>
            <w:drawing>
              <wp:inline distT="0" distB="0" distL="0" distR="0" wp14:anchorId="23CBB89E" wp14:editId="2C30A458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80" w:type="dxa"/>
          <w:vAlign w:val="center"/>
        </w:tcPr>
        <w:p w:rsidR="00EA3A19" w:rsidRDefault="006D0273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EA3A19" w:rsidRDefault="006D0273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EA3A19" w:rsidRDefault="006D0273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EA3A19" w:rsidRDefault="006D0273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EA3A19" w:rsidRDefault="00EA3A19">
    <w:pPr>
      <w:tabs>
        <w:tab w:val="center" w:pos="4252"/>
        <w:tab w:val="right" w:pos="8504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3A19" w:rsidRDefault="00EA3A1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B8596B"/>
    <w:multiLevelType w:val="multilevel"/>
    <w:tmpl w:val="39223A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2402214"/>
    <w:multiLevelType w:val="multilevel"/>
    <w:tmpl w:val="00CA82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A19"/>
    <w:rsid w:val="006D0273"/>
    <w:rsid w:val="00EA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1DBCB2-CE5C-42CD-B242-BAAB58BA0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133A9F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33A9F"/>
  </w:style>
  <w:style w:type="paragraph" w:styleId="Rodap">
    <w:name w:val="footer"/>
    <w:basedOn w:val="Normal"/>
    <w:link w:val="RodapChar"/>
    <w:uiPriority w:val="99"/>
    <w:unhideWhenUsed/>
    <w:rsid w:val="00133A9F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33A9F"/>
  </w:style>
  <w:style w:type="table" w:styleId="Tabelacomgrade">
    <w:name w:val="Table Grid"/>
    <w:basedOn w:val="Tabelanormal"/>
    <w:uiPriority w:val="39"/>
    <w:rsid w:val="00133A9F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3B3C9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B3C99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B3C99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B3C99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B3C99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3C9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3C99"/>
    <w:rPr>
      <w:rFonts w:ascii="Segoe UI" w:hAnsi="Segoe UI" w:cs="Segoe UI"/>
      <w:sz w:val="18"/>
      <w:szCs w:val="18"/>
    </w:r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9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a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b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c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e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anW4E87KzeWH2a1NL9wx8+022Q==">CgMxLjAyCGguZ2pkZ3hzOAByITFUaW5zNEplcU5fWEkwdExVSUhHbTI3SE50aDVGaUJwUw==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2573</Characters>
  <Application>Microsoft Office Word</Application>
  <DocSecurity>0</DocSecurity>
  <Lines>21</Lines>
  <Paragraphs>6</Paragraphs>
  <ScaleCrop>false</ScaleCrop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Helida de Fatima Gontijo</dc:creator>
  <cp:lastModifiedBy>Andrea Calixto Abdalla Ribeiro</cp:lastModifiedBy>
  <cp:revision>2</cp:revision>
  <dcterms:created xsi:type="dcterms:W3CDTF">2024-02-02T13:52:00Z</dcterms:created>
  <dcterms:modified xsi:type="dcterms:W3CDTF">2025-08-01T11:15:00Z</dcterms:modified>
</cp:coreProperties>
</file>